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BF" w:rsidRDefault="00B9222D">
      <w:bookmarkStart w:id="0" w:name="_GoBack"/>
      <w:bookmarkEnd w:id="0"/>
      <w:r>
        <w:t>Vervolg GLB.</w:t>
      </w:r>
    </w:p>
    <w:p w:rsidR="00B9222D" w:rsidRDefault="00B9222D">
      <w:r>
        <w:t xml:space="preserve">Vorige week heeft Dijksma haar brief over de implementatie van het nieuwe GLB na 2014 naar de kamer gestuurd. Veel vragen blijven open, enkele antwoorden zijn ingevuld. Voor exacte </w:t>
      </w:r>
      <w:r w:rsidR="004B6977">
        <w:t>duidelijkheid</w:t>
      </w:r>
      <w:r>
        <w:t xml:space="preserve"> zullen </w:t>
      </w:r>
      <w:r w:rsidR="004B6977">
        <w:t xml:space="preserve">we </w:t>
      </w:r>
      <w:r>
        <w:t>tot de zomer moeten wachten.</w:t>
      </w:r>
    </w:p>
    <w:p w:rsidR="00B9222D" w:rsidRPr="002566F3" w:rsidRDefault="00B9222D">
      <w:pPr>
        <w:rPr>
          <w:b/>
          <w:sz w:val="24"/>
          <w:szCs w:val="24"/>
        </w:rPr>
      </w:pPr>
      <w:r w:rsidRPr="002566F3">
        <w:rPr>
          <w:b/>
          <w:sz w:val="24"/>
          <w:szCs w:val="24"/>
        </w:rPr>
        <w:t>Wat is wel duidelijk.</w:t>
      </w:r>
    </w:p>
    <w:p w:rsidR="00B9222D" w:rsidRDefault="00B9222D">
      <w:r>
        <w:t>De compensatiebedrag (wat bepalend is voor de betalingen in de periode 2015-2018) wordt bepaald door de waarde op 15 mei 2014. De toeslagrechten tellen mee bij de eigenaar. Dus verhuur van TR in 2014 heeft geen gevolgen voor de verhuurder.</w:t>
      </w:r>
    </w:p>
    <w:p w:rsidR="002566F3" w:rsidRPr="002566F3" w:rsidRDefault="00B9222D">
      <w:pPr>
        <w:rPr>
          <w:sz w:val="24"/>
          <w:szCs w:val="24"/>
        </w:rPr>
      </w:pPr>
      <w:r w:rsidRPr="002566F3">
        <w:rPr>
          <w:b/>
          <w:sz w:val="24"/>
          <w:szCs w:val="24"/>
        </w:rPr>
        <w:t>Basispremie.</w:t>
      </w:r>
    </w:p>
    <w:p w:rsidR="00B9222D" w:rsidRDefault="00B9222D">
      <w:r>
        <w:t xml:space="preserve"> Er wordt een eindbedrag </w:t>
      </w:r>
      <w:r w:rsidR="00006592">
        <w:t xml:space="preserve">aan basispremie </w:t>
      </w:r>
      <w:r>
        <w:t xml:space="preserve">in 2019 genoemd van 270,-/ha. </w:t>
      </w:r>
      <w:r w:rsidR="004C4EDE">
        <w:t xml:space="preserve"> Het bedrag wat u op 15 mei 2014</w:t>
      </w:r>
      <w:r>
        <w:t xml:space="preserve"> aan TR heeft is bepalend hoe het traject naar 2019 gaat verlopen.</w:t>
      </w:r>
    </w:p>
    <w:p w:rsidR="002566F3" w:rsidRDefault="002566F3">
      <w:r>
        <w:t>Stel u heeft 100 ha grond.  TR op 15 mei 2014: € 50.000,-</w:t>
      </w:r>
    </w:p>
    <w:p w:rsidR="002566F3" w:rsidRDefault="002566F3">
      <w:r>
        <w:t>Korting in 2014: 12%: € 6000,- Uitbetaling in 2014: € 44.000,-</w:t>
      </w:r>
    </w:p>
    <w:p w:rsidR="002566F3" w:rsidRDefault="002566F3">
      <w:r>
        <w:t xml:space="preserve">Korting in 2015: 35% op de uitbetaling van 2014: = € 44.000,- </w:t>
      </w:r>
      <w:r w:rsidR="008B31F9">
        <w:t xml:space="preserve">minus € 44.000,- </w:t>
      </w:r>
      <w:r>
        <w:t>* 35%</w:t>
      </w:r>
      <w:r w:rsidR="00D865AA">
        <w:t xml:space="preserve"> </w:t>
      </w:r>
      <w:r>
        <w:t>= € 28.600,-</w:t>
      </w:r>
    </w:p>
    <w:p w:rsidR="002566F3" w:rsidRDefault="002566F3">
      <w:r>
        <w:t xml:space="preserve">Uw basispremie in 2015 per betalingsrecht </w:t>
      </w:r>
      <w:r w:rsidR="00032738">
        <w:t xml:space="preserve">(100 nieuwe betalingsrechten) </w:t>
      </w:r>
      <w:r>
        <w:t>wordt:</w:t>
      </w:r>
      <w:r w:rsidR="00032738">
        <w:t xml:space="preserve">                                  </w:t>
      </w:r>
      <w:r>
        <w:t xml:space="preserve"> € 28.600,- / 100 = € 286,- per ha (excl. vergroening)</w:t>
      </w:r>
      <w:r w:rsidR="00D865AA">
        <w:t xml:space="preserve">  Dit bedrag </w:t>
      </w:r>
      <w:r>
        <w:t>loopt in 4 gelijke stappen terug naar 270,- per ha.</w:t>
      </w:r>
      <w:r w:rsidR="00496077">
        <w:t xml:space="preserve"> Bedrijven die geen TR hebben per 15 mei 2014, maar in 2015 wel betalingsrechten, groeien in 5 jaar toe naar een bedrag van 270,- / ha. (bv 100% fruit bedrijven). Elk jaar + € 54,- per ha erbij.</w:t>
      </w:r>
    </w:p>
    <w:p w:rsidR="00006592" w:rsidRPr="00006592" w:rsidRDefault="00006592">
      <w:pPr>
        <w:rPr>
          <w:b/>
          <w:sz w:val="24"/>
          <w:szCs w:val="24"/>
        </w:rPr>
      </w:pPr>
      <w:r w:rsidRPr="00496077">
        <w:rPr>
          <w:b/>
          <w:sz w:val="24"/>
          <w:szCs w:val="24"/>
        </w:rPr>
        <w:t>Vergroening</w:t>
      </w:r>
    </w:p>
    <w:p w:rsidR="00D865AA" w:rsidRDefault="00006592">
      <w:pPr>
        <w:rPr>
          <w:b/>
          <w:sz w:val="24"/>
          <w:szCs w:val="24"/>
        </w:rPr>
      </w:pPr>
      <w:r w:rsidRPr="00006592">
        <w:rPr>
          <w:b/>
          <w:sz w:val="28"/>
          <w:szCs w:val="28"/>
        </w:rPr>
        <w:t xml:space="preserve">Let </w:t>
      </w:r>
      <w:r w:rsidR="00D865AA" w:rsidRPr="00006592">
        <w:rPr>
          <w:b/>
          <w:sz w:val="28"/>
          <w:szCs w:val="28"/>
        </w:rPr>
        <w:t>goed op</w:t>
      </w:r>
      <w:r w:rsidR="00D865AA" w:rsidRPr="00D865AA">
        <w:rPr>
          <w:b/>
          <w:sz w:val="24"/>
          <w:szCs w:val="24"/>
        </w:rPr>
        <w:t xml:space="preserve">: </w:t>
      </w:r>
      <w:r w:rsidR="00D865AA">
        <w:rPr>
          <w:b/>
          <w:sz w:val="24"/>
          <w:szCs w:val="24"/>
        </w:rPr>
        <w:t>De vergroeningspremie wordt tot 2019 een percentage van de basispremie. Dit betekent dat een hoge waarde van TR op 15 mei 2014 een hogere vergroeningspremie geeft. Dit is gedaan om de overgang zo geleidelijk mogelijk te laten plaats vinden. Dit gaat te koste van de bedrijven met een lage compensatie. Het percentage staat nog niet vast (rond de 50% van de basispremie). In bovengenoemd voorbeeld zou het dan gaan o</w:t>
      </w:r>
      <w:r w:rsidR="00496077">
        <w:rPr>
          <w:b/>
          <w:sz w:val="24"/>
          <w:szCs w:val="24"/>
        </w:rPr>
        <w:t xml:space="preserve">m een bedrag van </w:t>
      </w:r>
      <w:r>
        <w:rPr>
          <w:b/>
          <w:sz w:val="24"/>
          <w:szCs w:val="24"/>
        </w:rPr>
        <w:t>€ 143,- per ha in 2015</w:t>
      </w:r>
      <w:r w:rsidR="00496077">
        <w:rPr>
          <w:b/>
          <w:sz w:val="24"/>
          <w:szCs w:val="24"/>
        </w:rPr>
        <w:t xml:space="preserve">. </w:t>
      </w:r>
      <w:r w:rsidR="00D865AA">
        <w:rPr>
          <w:b/>
          <w:sz w:val="24"/>
          <w:szCs w:val="24"/>
        </w:rPr>
        <w:t>Kopen</w:t>
      </w:r>
      <w:r w:rsidR="00032738">
        <w:rPr>
          <w:b/>
          <w:sz w:val="24"/>
          <w:szCs w:val="24"/>
        </w:rPr>
        <w:t xml:space="preserve"> van TR voor 31 maart wordt dus weer</w:t>
      </w:r>
      <w:r w:rsidR="00D865AA">
        <w:rPr>
          <w:b/>
          <w:sz w:val="24"/>
          <w:szCs w:val="24"/>
        </w:rPr>
        <w:t xml:space="preserve"> iets interessanter.</w:t>
      </w:r>
    </w:p>
    <w:p w:rsidR="006839D4" w:rsidRPr="006839D4" w:rsidRDefault="00006592">
      <w:r>
        <w:t xml:space="preserve">Voor de vergroening </w:t>
      </w:r>
      <w:r w:rsidR="006839D4" w:rsidRPr="006839D4">
        <w:t xml:space="preserve"> wordt een bedrag </w:t>
      </w:r>
      <w:r>
        <w:t xml:space="preserve">genoemd </w:t>
      </w:r>
      <w:r w:rsidR="006839D4" w:rsidRPr="006839D4">
        <w:t>van 120,- / ha in 2019.</w:t>
      </w:r>
      <w:r w:rsidR="008B31F9">
        <w:t xml:space="preserve"> Bij 100 ha is dit een bedrag van € 12.000,-, als u aan de voorwaarden voldoet. In genoemd voorbeeld zakt dit bedrijf aan GLB steun van € 50.000,- in 2013 (excl. modulatiekorting) naar ee</w:t>
      </w:r>
      <w:r>
        <w:t xml:space="preserve">n bedrag van € 39.000,- in 2019 incl. vergroening. </w:t>
      </w:r>
    </w:p>
    <w:p w:rsidR="00496077" w:rsidRPr="00496077" w:rsidRDefault="00496077">
      <w:r>
        <w:t>Hieronder het stuk uit de brief van Dijksma, over de invulling van vergroening</w:t>
      </w:r>
    </w:p>
    <w:p w:rsidR="00496077" w:rsidRPr="00496077" w:rsidRDefault="00496077" w:rsidP="00496077">
      <w:pPr>
        <w:numPr>
          <w:ilvl w:val="0"/>
          <w:numId w:val="1"/>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Landschapselementen zoals houtwallen, heggen en poelen, met inbegrip van dergelijke elementen die grenzen aan subsidiabele landbouwgrond;</w:t>
      </w:r>
    </w:p>
    <w:p w:rsidR="00496077" w:rsidRPr="00496077" w:rsidRDefault="00496077" w:rsidP="00496077">
      <w:pPr>
        <w:numPr>
          <w:ilvl w:val="0"/>
          <w:numId w:val="1"/>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Equivalente (pakketten van) maatregelen, zoals:</w:t>
      </w:r>
    </w:p>
    <w:p w:rsidR="00496077" w:rsidRPr="00496077" w:rsidRDefault="00496077" w:rsidP="00496077">
      <w:pPr>
        <w:numPr>
          <w:ilvl w:val="1"/>
          <w:numId w:val="2"/>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lastRenderedPageBreak/>
        <w:t>akkerranden met daaraan grenzende sloten ten behoeve van de stimulering van biodiversiteit, waaronder bijen;</w:t>
      </w:r>
    </w:p>
    <w:p w:rsidR="00496077" w:rsidRPr="00496077" w:rsidRDefault="00496077" w:rsidP="00496077">
      <w:pPr>
        <w:numPr>
          <w:ilvl w:val="1"/>
          <w:numId w:val="2"/>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bufferstroken met daaraan grenzende sloten;</w:t>
      </w:r>
    </w:p>
    <w:p w:rsidR="00496077" w:rsidRPr="00496077" w:rsidRDefault="00496077" w:rsidP="00496077">
      <w:pPr>
        <w:numPr>
          <w:ilvl w:val="1"/>
          <w:numId w:val="2"/>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natuurvriendelijke oevers met daaraan grenzende sloten;</w:t>
      </w:r>
    </w:p>
    <w:p w:rsidR="00496077" w:rsidRPr="00496077" w:rsidRDefault="00496077" w:rsidP="00496077">
      <w:pPr>
        <w:numPr>
          <w:ilvl w:val="1"/>
          <w:numId w:val="2"/>
        </w:num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combinaties van enerzijds percelen (zoals vogelakkers), stroken of akkerranden ten behoeve van de biodiversiteit op een bepaald deel van de EFA en anderzijds de teelt van bepaalde eiwitgewassen op het overige deel van de verplichte EFA-oppervlakte.</w:t>
      </w:r>
    </w:p>
    <w:p w:rsidR="00496077" w:rsidRPr="00496077" w:rsidRDefault="00496077" w:rsidP="00496077">
      <w:pPr>
        <w:numPr>
          <w:ilvl w:val="0"/>
          <w:numId w:val="3"/>
        </w:numPr>
        <w:spacing w:after="0" w:line="240" w:lineRule="auto"/>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Duurzaamheidscertificaten. Ik zal het bedrijfsleven ondersteunen in het ontwikkelen en uitwerken van zogenaamde duurzaamheidscertificaten. Dit principe, waarvoor een aanzet wordt gegeven in bijvoorbeeld de verduurzamingsaanpak van het programma  ‘Veldleeuwerik’, zal de komende tijd verder uitgewerkt moeten worden door het bedrijfsleven. Randvoorwaarde is dat de vergroeningsmaatregelen een zelfde meerwaarde hebben als de door de commissie voorgestelde maatregelen, waarna deze in de toekomst ook invulling kunnen geven aan één of meer vergroeningsverplichtingen. Dit sluit daarmee ook aan bij de aanbeveling die de RLI heeft gedaan in zijn briefadvies om verder te gaan met de ontwikkeling van bedrijfscertificaten.</w:t>
      </w:r>
    </w:p>
    <w:p w:rsidR="00496077" w:rsidRPr="00496077" w:rsidRDefault="00496077" w:rsidP="00496077">
      <w:pPr>
        <w:numPr>
          <w:ilvl w:val="0"/>
          <w:numId w:val="1"/>
        </w:numPr>
        <w:spacing w:after="0" w:line="240" w:lineRule="atLeast"/>
        <w:rPr>
          <w:rFonts w:ascii="Verdana" w:eastAsia="Times New Roman" w:hAnsi="Verdana" w:cs="Times New Roman"/>
          <w:sz w:val="18"/>
          <w:szCs w:val="18"/>
          <w:u w:color="0000FF"/>
          <w:lang w:eastAsia="nl-NL"/>
        </w:rPr>
      </w:pPr>
      <w:r w:rsidRPr="00496077">
        <w:rPr>
          <w:rFonts w:ascii="Verdana" w:eastAsia="Times New Roman" w:hAnsi="Verdana" w:cs="Times New Roman"/>
          <w:sz w:val="18"/>
          <w:szCs w:val="24"/>
          <w:lang w:eastAsia="nl-NL"/>
        </w:rPr>
        <w:t xml:space="preserve">Ruimte voor een collectieve benadering, binnen de randvoorwaarden van het wetgevingskader. </w:t>
      </w:r>
      <w:r w:rsidRPr="00496077">
        <w:rPr>
          <w:rFonts w:ascii="Verdana" w:eastAsia="Times New Roman" w:hAnsi="Verdana" w:cs="Times New Roman"/>
          <w:sz w:val="18"/>
          <w:szCs w:val="18"/>
          <w:u w:color="0000FF"/>
          <w:lang w:eastAsia="nl-NL"/>
        </w:rPr>
        <w:t>Hiermee kunnen groepen boeren gezamenlijk invulling geven aan de ecologisch aandachtsgebieden. Dit behelst dat een deel (maximaal de helft) van de individuele verplichting kan worden uitgevoerd door andere boeren binnen het collectief. Eis daarbij is, zoals geformuleerd in de Brusselse regelgeving, dat een aaneengesloten ecologisch aandachtsgebied wordt gerealiseerd. </w:t>
      </w:r>
    </w:p>
    <w:p w:rsidR="00496077" w:rsidRPr="00496077" w:rsidRDefault="00496077" w:rsidP="00496077">
      <w:pPr>
        <w:spacing w:after="0" w:line="240" w:lineRule="atLeast"/>
        <w:rPr>
          <w:rFonts w:ascii="Verdana" w:eastAsia="Times New Roman" w:hAnsi="Verdana" w:cs="Times New Roman"/>
          <w:color w:val="0000FF"/>
          <w:sz w:val="20"/>
          <w:szCs w:val="20"/>
          <w:u w:color="0000FF"/>
          <w:lang w:eastAsia="nl-NL"/>
        </w:rPr>
      </w:pPr>
    </w:p>
    <w:p w:rsidR="00496077" w:rsidRPr="00496077" w:rsidRDefault="00496077" w:rsidP="00496077">
      <w:p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 xml:space="preserve">Sloten die grenzen aan akkerranden en dergelijke kunnen als aangrenzend landschapselement worden meegeteld in de vergroeningsoppervlakte, omdat ze een extra bijdrage aan biodiversiteit of waterkwaliteit leveren. </w:t>
      </w:r>
    </w:p>
    <w:p w:rsidR="00496077" w:rsidRDefault="00496077" w:rsidP="00496077">
      <w:pPr>
        <w:spacing w:after="0" w:line="240" w:lineRule="atLeast"/>
        <w:rPr>
          <w:rFonts w:ascii="Verdana" w:eastAsia="Times New Roman" w:hAnsi="Verdana" w:cs="Times New Roman"/>
          <w:sz w:val="18"/>
          <w:szCs w:val="24"/>
          <w:lang w:eastAsia="nl-NL"/>
        </w:rPr>
      </w:pPr>
    </w:p>
    <w:p w:rsidR="00496077" w:rsidRPr="00496077" w:rsidRDefault="00496077" w:rsidP="00496077">
      <w:p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Met de beschreven aanpak kan een deel van de vergroeningsverplichting worden ingevuld met de teelt van bepaalde eiwitgewassen. Hiertoe zullen nader te bepalen eiwitgewassen als onderdeel van de invulling van de aangeduide combinatiepakketten kunnen dienen. Hiermee wordt ook de teelt van veevoergewassen gestimuleerd. Ik onderzoek of er nog andere gewassen dezelfde ecologische meerwaarde hebben, waardoor zij, na instemming van de Europese Commissie, in aanmerking kunnen komen om als onderdeel van deze combipakketten te kunnen worden geteeld. In dit onderzoek betrek ik ook de teelt van vlas.</w:t>
      </w:r>
    </w:p>
    <w:p w:rsidR="00496077" w:rsidRPr="00496077" w:rsidRDefault="00496077" w:rsidP="00496077">
      <w:pPr>
        <w:spacing w:after="0" w:line="240" w:lineRule="atLeast"/>
        <w:rPr>
          <w:rFonts w:ascii="Verdana" w:eastAsia="Times New Roman" w:hAnsi="Verdana" w:cs="Times New Roman"/>
          <w:sz w:val="18"/>
          <w:szCs w:val="24"/>
          <w:lang w:eastAsia="nl-NL"/>
        </w:rPr>
      </w:pPr>
    </w:p>
    <w:p w:rsidR="00496077" w:rsidRPr="00496077" w:rsidRDefault="00496077" w:rsidP="00496077">
      <w:pPr>
        <w:spacing w:after="0" w:line="240" w:lineRule="atLeast"/>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 xml:space="preserve">Met de voorgestelde invulling wordt een belangrijke biodiversiteitwinst geboekt en wordt de teelt van duurzaam geproduceerde veevoedergewassen gestimuleerd. Tegelijkertijd is de voorgestelde invulling haalbaar voor de praktijk. De vergroening zal aanpassingen vergen in de bedrijfsvoering, maar naar mijn overtuiging hebben boeren hiermee voldoende ruimte om een invulling te kiezen die past bij hun bedrijf, hun ambities en hun mogelijkheden. </w:t>
      </w:r>
    </w:p>
    <w:p w:rsidR="00496077" w:rsidRPr="00496077" w:rsidRDefault="00496077" w:rsidP="00496077">
      <w:pPr>
        <w:spacing w:after="0" w:line="240" w:lineRule="atLeast"/>
        <w:rPr>
          <w:rFonts w:ascii="Verdana" w:eastAsia="Times New Roman" w:hAnsi="Verdana" w:cs="Times New Roman"/>
          <w:sz w:val="18"/>
          <w:szCs w:val="24"/>
          <w:lang w:eastAsia="nl-NL"/>
        </w:rPr>
      </w:pPr>
    </w:p>
    <w:p w:rsidR="00032738" w:rsidRDefault="00496077" w:rsidP="00496077">
      <w:pPr>
        <w:rPr>
          <w:rFonts w:ascii="Verdana" w:eastAsia="Times New Roman" w:hAnsi="Verdana" w:cs="Times New Roman"/>
          <w:sz w:val="18"/>
          <w:szCs w:val="24"/>
          <w:lang w:eastAsia="nl-NL"/>
        </w:rPr>
      </w:pPr>
      <w:r w:rsidRPr="00496077">
        <w:rPr>
          <w:rFonts w:ascii="Verdana" w:eastAsia="Times New Roman" w:hAnsi="Verdana" w:cs="Times New Roman"/>
          <w:sz w:val="18"/>
          <w:szCs w:val="24"/>
          <w:lang w:eastAsia="nl-NL"/>
        </w:rPr>
        <w:t>De komende tijd wil ik deze invulling verder uitwerken in overleg met het bedrijfsleven en andere maatschappelijke organisaties. Hierbij neem ik ook afwegingen rondom uitvoeringskosten en handhaafbaarheid mee. De definitieve invulling van de vergroeningsmaatregelen moet voor 1 augustus 2014 aan de Europese Commissie gemeld worden.</w:t>
      </w:r>
    </w:p>
    <w:p w:rsidR="00122A8B" w:rsidRDefault="00122A8B" w:rsidP="00496077">
      <w:pPr>
        <w:rPr>
          <w:b/>
          <w:sz w:val="24"/>
          <w:szCs w:val="24"/>
        </w:rPr>
      </w:pPr>
      <w:r>
        <w:rPr>
          <w:rFonts w:ascii="Verdana" w:eastAsia="Times New Roman" w:hAnsi="Verdana" w:cs="Times New Roman"/>
          <w:sz w:val="18"/>
          <w:szCs w:val="24"/>
          <w:lang w:eastAsia="nl-NL"/>
        </w:rPr>
        <w:t>Tot zover de brief van Dijksma.</w:t>
      </w:r>
    </w:p>
    <w:p w:rsidR="00D865AA" w:rsidRDefault="00496077">
      <w:r>
        <w:t xml:space="preserve">Wat opvalt is dat sloten die grenzen aan </w:t>
      </w:r>
      <w:r w:rsidR="00122A8B">
        <w:t>bufferstroken en akkerranden worden genoemd als invulling van de EFA-eis. Er wordt niet genoemd dat sloten eigendom moeten zijn en ook niet voor welk deel ze meetellen. Men praat in dit kader over biodiversiteit. Of een sloot nu eigendom is of niet is in dit kader minder relevant. Ik neem aan dat sloten die aan de voorwaarden voldoen, meetellen</w:t>
      </w:r>
      <w:r w:rsidR="006839D4">
        <w:t>, ongeacht of ze wel of geen eigendom zijn</w:t>
      </w:r>
      <w:r w:rsidR="00122A8B">
        <w:t xml:space="preserve">. </w:t>
      </w:r>
      <w:r w:rsidR="007E3BDD">
        <w:t xml:space="preserve"> (reactie van component agro)</w:t>
      </w:r>
    </w:p>
    <w:p w:rsidR="00122A8B" w:rsidRDefault="00006592">
      <w:r>
        <w:t>Bij</w:t>
      </w:r>
      <w:r w:rsidR="00122A8B">
        <w:t xml:space="preserve"> de eiwithoudende gewassen wordt genoemd dat het een onderdeel is van een pakket. Hierbij moet men denken aan bv. de eis dat het een voedergewas moet zijn of bv. aangrenzend aan een </w:t>
      </w:r>
      <w:r w:rsidR="00122A8B">
        <w:lastRenderedPageBreak/>
        <w:t xml:space="preserve">akkerrand ligt. Ook vlas wordt genoemd. </w:t>
      </w:r>
      <w:r>
        <w:t>Luk raak een perceel erwten zaaien om aan de eis te voldoen zal zeer w</w:t>
      </w:r>
      <w:r w:rsidR="00E14A44">
        <w:t>aarschijnlijk niet aan de eisen van vergroening voldoen</w:t>
      </w:r>
      <w:r>
        <w:t>.</w:t>
      </w:r>
    </w:p>
    <w:p w:rsidR="009567C0" w:rsidRDefault="009567C0"/>
    <w:p w:rsidR="009567C0" w:rsidRDefault="009567C0">
      <w:r>
        <w:t>Als er vragen zijn hoor ik het wel.</w:t>
      </w:r>
    </w:p>
    <w:p w:rsidR="009567C0" w:rsidRDefault="009567C0">
      <w:r>
        <w:t>Jan Moggré Agrarisch Advies.</w:t>
      </w:r>
    </w:p>
    <w:p w:rsidR="009567C0" w:rsidRDefault="009567C0">
      <w:r>
        <w:t>T:038787855</w:t>
      </w:r>
    </w:p>
    <w:p w:rsidR="009567C0" w:rsidRDefault="009567C0">
      <w:r>
        <w:t>E: jan@moggre.com</w:t>
      </w:r>
    </w:p>
    <w:p w:rsidR="006839D4" w:rsidRPr="00D865AA" w:rsidRDefault="006839D4"/>
    <w:sectPr w:rsidR="006839D4" w:rsidRPr="00D8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143E"/>
    <w:multiLevelType w:val="multilevel"/>
    <w:tmpl w:val="FFFFFFFF"/>
    <w:styleLink w:val="List21"/>
    <w:lvl w:ilvl="0">
      <w:numFmt w:val="bullet"/>
      <w:lvlText w:val="-"/>
      <w:lvlJc w:val="left"/>
      <w:rPr>
        <w:color w:val="000000"/>
        <w:position w:val="0"/>
        <w:u w:color="0000FF"/>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nsid w:val="21E91657"/>
    <w:multiLevelType w:val="multilevel"/>
    <w:tmpl w:val="FFFFFFFF"/>
    <w:styleLink w:val="List31"/>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nsid w:val="56205F45"/>
    <w:multiLevelType w:val="multilevel"/>
    <w:tmpl w:val="FFFFFFFF"/>
    <w:styleLink w:val="List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0"/>
  </w:num>
  <w:num w:numId="2">
    <w:abstractNumId w:val="1"/>
  </w:num>
  <w:num w:numId="3">
    <w:abstractNumId w:val="2"/>
    <w:lvlOverride w:ilvl="0">
      <w:lvl w:ilvl="0">
        <w:numFmt w:val="bullet"/>
        <w:lvlText w:val="-"/>
        <w:lvlJc w:val="left"/>
        <w:rPr>
          <w:color w:val="000000"/>
          <w:position w:val="0"/>
          <w:u w:color="00000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2D"/>
    <w:rsid w:val="00006592"/>
    <w:rsid w:val="00032738"/>
    <w:rsid w:val="00122A8B"/>
    <w:rsid w:val="002566F3"/>
    <w:rsid w:val="00496077"/>
    <w:rsid w:val="004B6977"/>
    <w:rsid w:val="004C4EDE"/>
    <w:rsid w:val="006839D4"/>
    <w:rsid w:val="007E3BDD"/>
    <w:rsid w:val="008B31F9"/>
    <w:rsid w:val="009567C0"/>
    <w:rsid w:val="00B9222D"/>
    <w:rsid w:val="00D71DB2"/>
    <w:rsid w:val="00D865AA"/>
    <w:rsid w:val="00E14A44"/>
    <w:rsid w:val="00EA3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A38E0-4B8D-48B6-A46C-898D6A76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List21">
    <w:name w:val="List 21"/>
    <w:rsid w:val="00496077"/>
    <w:pPr>
      <w:numPr>
        <w:numId w:val="1"/>
      </w:numPr>
    </w:pPr>
  </w:style>
  <w:style w:type="numbering" w:customStyle="1" w:styleId="List31">
    <w:name w:val="List 31"/>
    <w:rsid w:val="00496077"/>
    <w:pPr>
      <w:numPr>
        <w:numId w:val="2"/>
      </w:numPr>
    </w:pPr>
  </w:style>
  <w:style w:type="numbering" w:customStyle="1" w:styleId="List41">
    <w:name w:val="List 41"/>
    <w:rsid w:val="00496077"/>
    <w:pPr>
      <w:numPr>
        <w:numId w:val="4"/>
      </w:numPr>
    </w:pPr>
  </w:style>
  <w:style w:type="paragraph" w:styleId="Ballontekst">
    <w:name w:val="Balloon Text"/>
    <w:basedOn w:val="Standaard"/>
    <w:link w:val="BallontekstChar"/>
    <w:uiPriority w:val="99"/>
    <w:semiHidden/>
    <w:unhideWhenUsed/>
    <w:rsid w:val="00D71D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1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Moggré</dc:creator>
  <cp:lastModifiedBy>Elly Brouwer</cp:lastModifiedBy>
  <cp:revision>2</cp:revision>
  <cp:lastPrinted>2014-01-13T10:08:00Z</cp:lastPrinted>
  <dcterms:created xsi:type="dcterms:W3CDTF">2014-01-13T10:09:00Z</dcterms:created>
  <dcterms:modified xsi:type="dcterms:W3CDTF">2014-01-13T10:09:00Z</dcterms:modified>
</cp:coreProperties>
</file>